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23" w:rsidRPr="009D040B" w:rsidRDefault="009D040B" w:rsidP="009D040B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El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trámite se suma a la extensión de pasaportes vencidos hasta por 5 años lograda por la representación diplomática del gobierno interino del Presidente Guaidó</w:t>
      </w:r>
      <w:r>
        <w:rPr>
          <w:rFonts w:ascii="Arial" w:eastAsia="Calibri" w:hAnsi="Arial" w:cs="Arial"/>
          <w:sz w:val="24"/>
          <w:szCs w:val="24"/>
          <w:lang w:val="es-ES_tradnl"/>
        </w:rPr>
        <w:t>, entre otras acciones.</w:t>
      </w:r>
      <w:r w:rsidR="00532167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 </w:t>
      </w:r>
    </w:p>
    <w:p w:rsidR="001F2723" w:rsidRPr="009D040B" w:rsidRDefault="00D635FF" w:rsidP="009D040B">
      <w:pPr>
        <w:spacing w:line="276" w:lineRule="auto"/>
        <w:jc w:val="center"/>
        <w:rPr>
          <w:rFonts w:ascii="Arial" w:eastAsia="Calibri" w:hAnsi="Arial" w:cs="Arial"/>
          <w:b/>
          <w:bCs/>
          <w:sz w:val="36"/>
          <w:szCs w:val="36"/>
          <w:lang w:val="es-ES_tradnl"/>
        </w:rPr>
      </w:pPr>
      <w:r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 xml:space="preserve">Embajada de Venezuela </w:t>
      </w:r>
      <w:r w:rsidR="009A74A8"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>activ</w:t>
      </w:r>
      <w:r w:rsidR="007D5A8D"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>ó</w:t>
      </w:r>
      <w:r w:rsidR="009A74A8"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 xml:space="preserve"> procesamiento de</w:t>
      </w:r>
      <w:r w:rsidR="00C109A1"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 xml:space="preserve"> </w:t>
      </w:r>
      <w:r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>“Cartas de No Objeción”</w:t>
      </w:r>
      <w:r w:rsidR="007D5A8D" w:rsidRPr="009D040B">
        <w:rPr>
          <w:rFonts w:ascii="Arial" w:eastAsia="Calibri" w:hAnsi="Arial" w:cs="Arial"/>
          <w:b/>
          <w:bCs/>
          <w:sz w:val="36"/>
          <w:szCs w:val="36"/>
          <w:lang w:val="es-ES_tradnl"/>
        </w:rPr>
        <w:t xml:space="preserve"> para ciudadanos venezolanos en los EEUU</w:t>
      </w:r>
    </w:p>
    <w:p w:rsidR="00B37976" w:rsidRPr="009D040B" w:rsidRDefault="001F2723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(Washington, 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>1</w:t>
      </w:r>
      <w:r w:rsidR="009A74A8" w:rsidRPr="009D040B">
        <w:rPr>
          <w:rFonts w:ascii="Arial" w:eastAsia="Calibri" w:hAnsi="Arial" w:cs="Arial"/>
          <w:sz w:val="24"/>
          <w:szCs w:val="24"/>
          <w:lang w:val="es-ES_tradnl"/>
        </w:rPr>
        <w:t>9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.02.2020).-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A partir del mediodía de este miércoles l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a Embajada de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la República Bolivariana de 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Venezuela ante los Estados Unidos </w:t>
      </w:r>
      <w:r w:rsidR="009A74A8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activó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la posibilidad de que 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los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ciudadanos 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venezolanos en ese país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soliciten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="00532167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en línea </w:t>
      </w:r>
      <w:r w:rsidR="00D635FF" w:rsidRPr="009D040B">
        <w:rPr>
          <w:rFonts w:ascii="Arial" w:eastAsia="Calibri" w:hAnsi="Arial" w:cs="Arial"/>
          <w:sz w:val="24"/>
          <w:szCs w:val="24"/>
          <w:lang w:val="es-ES_tradnl"/>
        </w:rPr>
        <w:t>el “waiver Carta de No Objeción”, servicio consular que por más de 10 años el régimen criminal de Maduro negó a sus ciudadanos.</w:t>
      </w:r>
    </w:p>
    <w:p w:rsidR="00B37976" w:rsidRPr="009D040B" w:rsidRDefault="00B37976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D635FF" w:rsidRPr="009D040B" w:rsidRDefault="00D635FF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El anuncio lo hizo el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Embajador de 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>Venez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uela ante los EEUU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,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Carlos Vecchio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>, a través de un video en redes sociales, quien explicó que el trámite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>se realiz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a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a través del Registro Único Consular en </w:t>
      </w:r>
      <w:hyperlink r:id="rId7" w:history="1">
        <w:r w:rsidRPr="009D040B">
          <w:rPr>
            <w:rStyle w:val="Hipervnculo"/>
            <w:rFonts w:ascii="Arial" w:eastAsia="Calibri" w:hAnsi="Arial" w:cs="Arial"/>
            <w:sz w:val="24"/>
            <w:szCs w:val="24"/>
            <w:lang w:val="es-ES_tradnl"/>
          </w:rPr>
          <w:t>www.us.embajadavenezuela.org</w:t>
        </w:r>
      </w:hyperlink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, y es completamente gratis.</w:t>
      </w:r>
    </w:p>
    <w:p w:rsidR="00D635FF" w:rsidRPr="009D040B" w:rsidRDefault="00D635FF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532167" w:rsidRPr="009D040B" w:rsidRDefault="00D635FF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>“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Estamos dando inicio a un nuevo proceso de servicios consulares que se denomina la Carta de No Objeción, que va a permitir a venezolanos que están estudiando o que son profesionales</w:t>
      </w:r>
      <w:r w:rsidR="009D040B">
        <w:rPr>
          <w:rFonts w:ascii="Arial" w:eastAsia="Calibri" w:hAnsi="Arial" w:cs="Arial"/>
          <w:sz w:val="24"/>
          <w:szCs w:val="24"/>
          <w:lang w:val="es-ES_tradnl"/>
        </w:rPr>
        <w:t>,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quedarse acá para continuar su formación y poder estar preparados para regresar a la Venezuela que vamos a construir juntos</w:t>
      </w:r>
      <w:r w:rsidR="00532167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”, expresó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>Vecchio</w:t>
      </w:r>
      <w:r w:rsidR="00532167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. </w:t>
      </w:r>
    </w:p>
    <w:p w:rsidR="00532167" w:rsidRPr="009D040B" w:rsidRDefault="00532167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532167" w:rsidRPr="009D040B" w:rsidRDefault="00532167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>Este es un trámite que permite a ciudadanos extranjeros residentes en los Estados Unidos, por ciertas razones de estudio o laborales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bajo las categorías de visa J-1, J-2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>,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F-1 y G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permanecer en territorio norteamericano. Se realiza conjuntamente entre la Embajada de Venezuela y el Departamento de Estado de los Estados Unidos, siendo este último sobre quien recae la aprobación final.</w:t>
      </w:r>
    </w:p>
    <w:p w:rsidR="00532167" w:rsidRPr="009D040B" w:rsidRDefault="00532167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</w:p>
    <w:p w:rsidR="007D5A8D" w:rsidRPr="009D040B" w:rsidRDefault="007D5A8D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>Vecchio</w:t>
      </w:r>
      <w:r w:rsidR="00532167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recordó que “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este año ha sido complejo porque el régimen desmanteló toda la red consular, que queremos llevar progresivamente a su mejor nivel”. </w:t>
      </w:r>
    </w:p>
    <w:p w:rsidR="007D5A8D" w:rsidRPr="009D040B" w:rsidRDefault="007D5A8D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7D5A8D" w:rsidRPr="009D040B" w:rsidRDefault="007D5A8D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Destacó que </w:t>
      </w:r>
      <w:r w:rsidR="009D040B" w:rsidRPr="009D040B">
        <w:rPr>
          <w:rFonts w:ascii="Arial" w:eastAsia="Calibri" w:hAnsi="Arial" w:cs="Arial"/>
          <w:sz w:val="24"/>
          <w:szCs w:val="24"/>
          <w:lang w:val="es-ES_tradnl"/>
        </w:rPr>
        <w:t>“</w:t>
      </w:r>
      <w:r w:rsidR="009D040B">
        <w:rPr>
          <w:rFonts w:ascii="Arial" w:eastAsia="Calibri" w:hAnsi="Arial" w:cs="Arial"/>
          <w:sz w:val="24"/>
          <w:szCs w:val="24"/>
          <w:lang w:val="es-ES_tradnl"/>
        </w:rPr>
        <w:t xml:space="preserve">durante el último año </w:t>
      </w:r>
      <w:r w:rsidR="009D040B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logramos que se aceptaran los pasaportes vencidos y hemos dado, con </w:t>
      </w:r>
      <w:r w:rsidR="009D040B">
        <w:rPr>
          <w:rFonts w:ascii="Arial" w:eastAsia="Calibri" w:hAnsi="Arial" w:cs="Arial"/>
          <w:sz w:val="24"/>
          <w:szCs w:val="24"/>
          <w:lang w:val="es-ES_tradnl"/>
        </w:rPr>
        <w:t xml:space="preserve">nuestras </w:t>
      </w:r>
      <w:r w:rsidR="009D040B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limitaciones, apoyo a los ciudadanos venezolanos detenidos en Estados Unidos. Seguimos trabajando junto con la </w:t>
      </w:r>
      <w:r w:rsidR="009D040B" w:rsidRPr="009D040B">
        <w:rPr>
          <w:rFonts w:ascii="Arial" w:eastAsia="Calibri" w:hAnsi="Arial" w:cs="Arial"/>
          <w:sz w:val="24"/>
          <w:szCs w:val="24"/>
          <w:lang w:val="es-ES_tradnl"/>
        </w:rPr>
        <w:lastRenderedPageBreak/>
        <w:t>administración del Presidente Trump y el Congreso para que se otorgue un mecanismo de protección para nuestros hermanos venezolanos, que les brinde tranquilidad migratoria”.</w:t>
      </w:r>
    </w:p>
    <w:p w:rsidR="007D5A8D" w:rsidRPr="009D040B" w:rsidRDefault="007D5A8D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532167" w:rsidRPr="009D040B" w:rsidRDefault="009D040B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El embajador Vecchio reiteró que “el foco principal de la lucha es salir de la dictadura”, objetivo por el que se mantienen trabajando y tan solo ayer, como resultado de la gira que realizó el Presidente Interino Juan Guaidó a Washington, se lograron acciones como las sanciones a Rosneft y Rusia por su apoyo al régimen criminal y narcoterrorista de Nicolás Maduro. </w:t>
      </w:r>
    </w:p>
    <w:p w:rsidR="00532167" w:rsidRPr="009D040B" w:rsidRDefault="00532167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7D5A8D" w:rsidRPr="009D040B" w:rsidRDefault="00532167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D040B">
        <w:rPr>
          <w:rFonts w:ascii="Arial" w:eastAsia="Calibri" w:hAnsi="Arial" w:cs="Arial"/>
          <w:sz w:val="24"/>
          <w:szCs w:val="24"/>
          <w:lang w:val="es-ES_tradnl"/>
        </w:rPr>
        <w:t xml:space="preserve">Los requisitos y pasos para la solicitud y emisión de la Carta de No Objeción 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que deben cargarse en el sistema en línea del </w:t>
      </w:r>
      <w:r w:rsidRPr="009D040B">
        <w:rPr>
          <w:rFonts w:ascii="Arial" w:eastAsia="Calibri" w:hAnsi="Arial" w:cs="Arial"/>
          <w:sz w:val="24"/>
          <w:szCs w:val="24"/>
          <w:lang w:val="es-ES_tradnl"/>
        </w:rPr>
        <w:t>Registro Único Consular</w:t>
      </w:r>
      <w:r w:rsidR="007D5A8D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son los siguientes:</w:t>
      </w:r>
    </w:p>
    <w:p w:rsidR="007D5A8D" w:rsidRPr="009D040B" w:rsidRDefault="007D5A8D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7D5A8D" w:rsidRPr="009D040B" w:rsidRDefault="007D5A8D" w:rsidP="009D04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US"/>
        </w:rPr>
      </w:pPr>
      <w:r w:rsidRPr="009D040B">
        <w:rPr>
          <w:rFonts w:ascii="Arial" w:hAnsi="Arial" w:cs="Arial"/>
          <w:b/>
          <w:bCs/>
          <w:sz w:val="24"/>
          <w:szCs w:val="24"/>
          <w:lang w:val="es-US"/>
        </w:rPr>
        <w:t>CARTAS DE NO OBJECIÓN (SIN APOYO ECONÓMICO):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Carta motivada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Formulario I-94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del pasaporte vigente y del que haya sido utilizado para su visa actual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 la visa actual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 todas las planillas DS-2019 o IAP-66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 carta “Third Party Barcode Page”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“Third Party Barcode”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Constancia de solvencia de la institución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Declaración personal del interesado</w:t>
      </w:r>
    </w:p>
    <w:p w:rsidR="007D5A8D" w:rsidRPr="009D040B" w:rsidRDefault="007D5A8D" w:rsidP="009D040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Nota (Si aplica)</w:t>
      </w:r>
    </w:p>
    <w:p w:rsidR="007D5A8D" w:rsidRPr="009D040B" w:rsidRDefault="007D5A8D" w:rsidP="009D040B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7D5A8D" w:rsidRPr="009D040B" w:rsidRDefault="007D5A8D" w:rsidP="009D040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US"/>
        </w:rPr>
      </w:pPr>
      <w:r w:rsidRPr="009D040B">
        <w:rPr>
          <w:rFonts w:ascii="Arial" w:hAnsi="Arial" w:cs="Arial"/>
          <w:b/>
          <w:bCs/>
          <w:sz w:val="24"/>
          <w:szCs w:val="24"/>
          <w:lang w:val="es-US"/>
        </w:rPr>
        <w:t>CARTAS DE NO OBJECIÓN (CON APOYO ECONÓMICO):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Carta motivada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Formulario I-94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del pasaporte vigente y del que haya sido utilizado para su visa actual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 la visa actual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 todas las planillas DS-2019 o IAP-66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Copia escaneada de carta “Third Party Barcode Page”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“Third Party Barcode”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lastRenderedPageBreak/>
        <w:t>Certificado de beca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Constancia de ingreso o de estudios de la Universidad o Institución Académica</w:t>
      </w:r>
    </w:p>
    <w:p w:rsidR="007D5A8D" w:rsidRPr="009D040B" w:rsidRDefault="007D5A8D" w:rsidP="009D04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40B">
        <w:rPr>
          <w:rFonts w:ascii="Arial" w:hAnsi="Arial" w:cs="Arial"/>
        </w:rPr>
        <w:t>Constancia de solvencia de la institución</w:t>
      </w:r>
    </w:p>
    <w:p w:rsidR="00D635FF" w:rsidRPr="009D040B" w:rsidRDefault="00D635FF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</w:p>
    <w:p w:rsidR="0028531D" w:rsidRPr="009D040B" w:rsidRDefault="009D040B" w:rsidP="009D040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Arial" w:eastAsia="Calibri" w:hAnsi="Arial" w:cs="Arial"/>
          <w:sz w:val="24"/>
          <w:szCs w:val="24"/>
          <w:lang w:val="es-ES_tradnl"/>
        </w:rPr>
        <w:t>Para más información, los interesa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es-ES_tradnl"/>
        </w:rPr>
        <w:t xml:space="preserve">dos pueden contactar a la embajada a través de </w:t>
      </w:r>
      <w:hyperlink r:id="rId8" w:history="1">
        <w:r w:rsidRPr="009746C9">
          <w:rPr>
            <w:rStyle w:val="Hipervnculo"/>
            <w:rFonts w:ascii="Arial" w:eastAsia="Calibri" w:hAnsi="Arial" w:cs="Arial"/>
            <w:sz w:val="24"/>
            <w:szCs w:val="24"/>
            <w:lang w:val="es-ES_tradnl"/>
          </w:rPr>
          <w:t>www.us.embajadavenezuela.org</w:t>
        </w:r>
      </w:hyperlink>
      <w:r>
        <w:rPr>
          <w:rFonts w:ascii="Arial" w:eastAsia="Calibri" w:hAnsi="Arial" w:cs="Arial"/>
          <w:sz w:val="24"/>
          <w:szCs w:val="24"/>
          <w:lang w:val="es-ES_tradnl"/>
        </w:rPr>
        <w:t xml:space="preserve"> o de las redes sociales @EmbajadaVE_USA.</w:t>
      </w:r>
      <w:r w:rsidR="00B37976" w:rsidRPr="009D040B">
        <w:rPr>
          <w:rFonts w:ascii="Arial" w:eastAsia="Calibri" w:hAnsi="Arial" w:cs="Arial"/>
          <w:sz w:val="24"/>
          <w:szCs w:val="24"/>
          <w:lang w:val="es-ES_tradnl"/>
        </w:rPr>
        <w:t xml:space="preserve"> </w:t>
      </w:r>
    </w:p>
    <w:sectPr w:rsidR="0028531D" w:rsidRPr="009D040B" w:rsidSect="006E4E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26" w:rsidRDefault="00674B26" w:rsidP="0028531D">
      <w:r>
        <w:separator/>
      </w:r>
    </w:p>
  </w:endnote>
  <w:endnote w:type="continuationSeparator" w:id="0">
    <w:p w:rsidR="00674B26" w:rsidRDefault="00674B26" w:rsidP="002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A59" w:rsidRDefault="00D80A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1D" w:rsidRDefault="0028531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-431165</wp:posOffset>
          </wp:positionV>
          <wp:extent cx="7769784" cy="10664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eleria_bajo_Mesa de trabajo 1 copia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84" cy="106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A59" w:rsidRDefault="00D80A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26" w:rsidRDefault="00674B26" w:rsidP="0028531D">
      <w:r>
        <w:separator/>
      </w:r>
    </w:p>
  </w:footnote>
  <w:footnote w:type="continuationSeparator" w:id="0">
    <w:p w:rsidR="00674B26" w:rsidRDefault="00674B26" w:rsidP="0028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A59" w:rsidRDefault="00D80A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31D" w:rsidRDefault="002853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72400" cy="1447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eria_encabezado NP_Mesa de trabajo 1 copia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31D" w:rsidRDefault="002853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A59" w:rsidRDefault="00D80A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7C1B"/>
    <w:multiLevelType w:val="hybridMultilevel"/>
    <w:tmpl w:val="A04E7794"/>
    <w:lvl w:ilvl="0" w:tplc="BE229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0AED"/>
    <w:multiLevelType w:val="hybridMultilevel"/>
    <w:tmpl w:val="A04E7794"/>
    <w:lvl w:ilvl="0" w:tplc="BE229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D"/>
    <w:rsid w:val="0006698B"/>
    <w:rsid w:val="001831DF"/>
    <w:rsid w:val="001F2723"/>
    <w:rsid w:val="0020245E"/>
    <w:rsid w:val="0028531D"/>
    <w:rsid w:val="00332F37"/>
    <w:rsid w:val="0036416F"/>
    <w:rsid w:val="003B5783"/>
    <w:rsid w:val="00491658"/>
    <w:rsid w:val="004C4E77"/>
    <w:rsid w:val="00511939"/>
    <w:rsid w:val="00532167"/>
    <w:rsid w:val="00656A11"/>
    <w:rsid w:val="00674B26"/>
    <w:rsid w:val="006E4EE2"/>
    <w:rsid w:val="00703099"/>
    <w:rsid w:val="00763C25"/>
    <w:rsid w:val="007D5A8D"/>
    <w:rsid w:val="0085287A"/>
    <w:rsid w:val="008B0660"/>
    <w:rsid w:val="008B2F44"/>
    <w:rsid w:val="00901654"/>
    <w:rsid w:val="009A74A8"/>
    <w:rsid w:val="009D040B"/>
    <w:rsid w:val="009D53E5"/>
    <w:rsid w:val="00A74DE9"/>
    <w:rsid w:val="00A933D6"/>
    <w:rsid w:val="00AF7A48"/>
    <w:rsid w:val="00B37976"/>
    <w:rsid w:val="00BB6E52"/>
    <w:rsid w:val="00BD12A2"/>
    <w:rsid w:val="00C109A1"/>
    <w:rsid w:val="00C742F0"/>
    <w:rsid w:val="00C80D5F"/>
    <w:rsid w:val="00C86284"/>
    <w:rsid w:val="00CE4DC3"/>
    <w:rsid w:val="00CE7300"/>
    <w:rsid w:val="00D635FF"/>
    <w:rsid w:val="00D67525"/>
    <w:rsid w:val="00D80A59"/>
    <w:rsid w:val="00E22D45"/>
    <w:rsid w:val="00F41476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CB921"/>
  <w15:chartTrackingRefBased/>
  <w15:docId w15:val="{2DE8DD36-08E6-1141-96E5-420710C0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E2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31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8531D"/>
  </w:style>
  <w:style w:type="paragraph" w:styleId="Piedepgina">
    <w:name w:val="footer"/>
    <w:basedOn w:val="Normal"/>
    <w:link w:val="PiedepginaCar"/>
    <w:uiPriority w:val="99"/>
    <w:unhideWhenUsed/>
    <w:rsid w:val="0028531D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4"/>
      <w:szCs w:val="24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531D"/>
  </w:style>
  <w:style w:type="character" w:styleId="Hipervnculo">
    <w:name w:val="Hyperlink"/>
    <w:basedOn w:val="Fuentedeprrafopredeter"/>
    <w:uiPriority w:val="99"/>
    <w:unhideWhenUsed/>
    <w:rsid w:val="009D53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3E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5A8D"/>
    <w:pPr>
      <w:spacing w:after="0" w:line="240" w:lineRule="auto"/>
      <w:ind w:left="720"/>
      <w:contextualSpacing/>
    </w:pPr>
    <w:rPr>
      <w:sz w:val="24"/>
      <w:szCs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.embajadavenezuel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s.embajadavenezuel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Johan Merchan</cp:lastModifiedBy>
  <cp:revision>2</cp:revision>
  <dcterms:created xsi:type="dcterms:W3CDTF">2020-02-19T16:58:00Z</dcterms:created>
  <dcterms:modified xsi:type="dcterms:W3CDTF">2020-02-19T16:58:00Z</dcterms:modified>
</cp:coreProperties>
</file>